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6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71"/>
        <w:ind w:left="6316" w:right="270"/>
        <w:spacing w:line="240" w:lineRule="auto"/>
      </w:pPr>
      <w:r>
        <w:t xml:space="preserve">УТВЕРЖДАЮ</w:t>
      </w:r>
      <w:r/>
    </w:p>
    <w:p>
      <w:pPr>
        <w:pStyle w:val="871"/>
        <w:ind w:left="6316" w:right="270"/>
        <w:spacing w:line="24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168000" behindDoc="1" locked="0" layoutInCell="1" allowOverlap="1">
                <wp:simplePos x="0" y="0"/>
                <wp:positionH relativeFrom="column">
                  <wp:posOffset>4048758</wp:posOffset>
                </wp:positionH>
                <wp:positionV relativeFrom="paragraph">
                  <wp:posOffset>127620</wp:posOffset>
                </wp:positionV>
                <wp:extent cx="1000466" cy="422611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37948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0462" cy="422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168000;o:allowoverlap:true;o:allowincell:true;mso-position-horizontal-relative:text;margin-left:318.80pt;mso-position-horizontal:absolute;mso-position-vertical-relative:text;margin-top:10.05pt;mso-position-vertical:absolute;width:78.78pt;height:33.2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1"/>
        <w:ind w:left="6316" w:right="270"/>
        <w:spacing w:line="240" w:lineRule="auto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0" w:right="0" w:firstLine="6378"/>
        <w:jc w:val="left"/>
        <w:rPr>
          <w:sz w:val="28"/>
          <w:szCs w:val="28"/>
        </w:rPr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</w:t>
      </w:r>
      <w:r>
        <w:t xml:space="preserve">Профессиональная адаптация и основы социально-правовых знаний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 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71"/>
        <w:ind w:left="225" w:right="1660"/>
        <w:jc w:val="left"/>
        <w:spacing w:before="0" w:beforeAutospacing="0" w:after="0" w:afterAutospacing="0"/>
      </w:pPr>
      <w:r>
        <w:t xml:space="preserve">Программа одобрена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10"/>
        </w:rPr>
        <w:t xml:space="preserve"> </w:t>
      </w:r>
      <w:r>
        <w:t xml:space="preserve">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t xml:space="preserve">«10»</w:t>
      </w:r>
      <w:r>
        <w:rPr>
          <w:spacing w:val="-11"/>
        </w:rPr>
        <w:t xml:space="preserve"> апреля</w:t>
      </w:r>
      <w:r>
        <w:t xml:space="preserve"> 2024</w:t>
      </w:r>
      <w:r>
        <w:rPr>
          <w:spacing w:val="-6"/>
        </w:rPr>
        <w:t xml:space="preserve"> </w:t>
      </w:r>
      <w:r>
        <w:t xml:space="preserve">г.</w:t>
      </w:r>
      <w:r>
        <w:rPr>
          <w:spacing w:val="49"/>
        </w:rP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8</w:t>
      </w:r>
      <w:r/>
    </w:p>
    <w:p>
      <w:pPr>
        <w:jc w:val="left"/>
        <w:spacing w:before="0" w:beforeAutospacing="0" w:after="0" w:afterAutospacing="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br/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3"/>
        </w:rPr>
        <w:br/>
      </w: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7"/>
        </w:rPr>
        <w:t xml:space="preserve"> </w:t>
      </w:r>
      <w:r>
        <w:t xml:space="preserve">2024 </w:t>
      </w:r>
      <w:r>
        <w:rPr>
          <w:spacing w:val="-57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</w:pPr>
      <w:r/>
      <w:r/>
    </w:p>
    <w:p>
      <w:pPr>
        <w:jc w:val="both"/>
      </w:pPr>
      <w:r>
        <w:t xml:space="preserve">Целью изучения дисциплины </w:t>
      </w:r>
      <w:r>
        <w:t xml:space="preserve">«Профессиональная адаптация и основы социально-правовых знаний» </w:t>
      </w:r>
      <w:r>
        <w:t xml:space="preserve">является повышен</w:t>
      </w:r>
      <w:r>
        <w:t xml:space="preserve">ие реабилитационного потенциала студентов с инвалидностью и ограниченными возможностями здоровья средствами образовательного пространства университета, формирование у обучающихся способности адаптироваться к различным жизненным и профессиональным условиям.</w:t>
      </w:r>
      <w:r/>
    </w:p>
    <w:p>
      <w:pPr>
        <w:jc w:val="both"/>
      </w:pPr>
      <w:r/>
      <w:r/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t xml:space="preserve">Дисциплина «Профессиональная адаптация и основы социально-правовых знаний» относится к факультативам и предназначается для обучающихся с ограниченными возможностями здоровья и инвалидностью. Программа курса состоит из ра</w:t>
      </w:r>
      <w:r>
        <w:t xml:space="preserve">зделов «Профессиональная адаптация» и «Основы социально-правовых знаний», содержание, образовательные технологии, материально-техническое и учебно-методическое обеспечение которых учитывает индивидуальный социальный опыт и ограничения здоровья обучающихся.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141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Cs/>
                <w:color w:val="3366ff"/>
                <w:sz w:val="20"/>
                <w:szCs w:val="20"/>
              </w:rPr>
            </w:pPr>
            <w:r>
              <w:t xml:space="preserve"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Cs/>
                <w:color w:val="3366ff"/>
                <w:sz w:val="20"/>
                <w:szCs w:val="20"/>
              </w:rPr>
            </w:r>
            <w:r>
              <w:rPr>
                <w:bCs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ИУК6.1 Применяет знания о своих ресурсах и их пределах (личностных, психофизиологических, ситуативных, временных) для успешного выполнения порученной работы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применяет знания о своих ресурсах и их пределах (личностных, </w:t>
            </w:r>
            <w:r>
              <w:t xml:space="preserve">психофизиологическ</w:t>
            </w:r>
            <w:r>
              <w:t xml:space="preserve"> их, ситуативных, временных) для успешного выполнения порученной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32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ИУК6.2Планирует и реализует намеченные цели с учетом условий, средств, личностных возможностей, этапов карьерного роста, требований рынка труда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планирует и реализует намеченные цели с</w:t>
            </w:r>
            <w:r>
              <w:t xml:space="preserve"> </w:t>
            </w:r>
            <w:r>
              <w:t xml:space="preserve">учетом условий, средств, личностных возможностей, этапов карьерного роста, требований рынка труда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29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ИУК6.3 Использует предоставленные возможности для приобретения новых знаний, умений и навыков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использует предоставленные возможности для приобретения новых знаний, умений и навыков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80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ИУК6.4 Критически оценивает эффективность использования времени и других ресурсов при решении поставленных задач и относительно полученного результата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Высоко критически оценивает эффективность использования времени и других ресурсов при решении поставленных задач и относительно полученного результата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1</w:t>
      </w:r>
      <w:r>
        <w:t xml:space="preserve"> зачетных </w:t>
      </w:r>
      <w:r>
        <w:t xml:space="preserve">единиц,  </w:t>
      </w:r>
      <w:r>
        <w:t xml:space="preserve">36</w:t>
      </w:r>
      <w:r>
        <w:t xml:space="preserve">  акад. часов.</w:t>
      </w:r>
      <w:r/>
    </w:p>
    <w:p>
      <w:pPr>
        <w:pStyle w:val="877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Профессиональное самоопределение и развитие лиц с ОВЗ и инвалидностью.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Этапы профессионального становления личности в условиях ограничений функций жизнедеятельности. Мотивы профессиональной деятельности на каждом из этапов профессионального становления. Личностные регуляторы выбора профессии. Профессиональное сам</w:t>
            </w:r>
            <w:r>
              <w:t xml:space="preserve">оопределение на разных стадиях возрастного развития человека. Условия формирования позитивной профессиональной самооценки, идентичности, уровня притязаний. Особенности развития когнитивных и волевых качеств у лиц с ОВЗ и инвалидностью Постановка жизненных </w:t>
            </w:r>
            <w:r>
              <w:t xml:space="preserve">и профессиональных целей с учётом психофизических особенностей. Ограничения на занятие про</w:t>
            </w:r>
            <w:r>
              <w:t xml:space="preserve">фессиональной деятельностью при инвалидности. Профессиональная пригодность и непригодность. Формы, методы, технологии самопрезентации при трудоустройстве лиц с ОВЗ и инвалидностью. Специализированные рабочие места и специальные условия труда для инвалидов.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Задания для самостоятельной работы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Основы социально-правовых знаний инвалидов.</w:t>
            </w:r>
            <w:r/>
          </w:p>
          <w:p>
            <w:r>
              <w:t xml:space="preserve">Конвенция ОО</w:t>
            </w:r>
            <w:r>
              <w:t xml:space="preserve">Н о правах инвалидов. Гражданский Кодекс в части статей о гражданских правах инвалидов. Трудовой Кодекс в части статей о трудовых правах инвалидов. Семейный Кодекс в части статей о семейных правах инвалидов. ФЗ «О социальной защите инвалидов в Российской Ф</w:t>
            </w:r>
            <w:r>
              <w:t xml:space="preserve">едерации». ФЗ РФ «Об образовании» в части гарантии права инвалидов и лиц с ОВЗ на образование Перечень гарантий инвалидам в РФ. Медико-социальная экспертиза. Реабилитация инвалидов. Индивидуальная программа реабилитации инвалида. Трудоустройство инвалидов.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Тестовые задания</w:t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8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Зачет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jc w:val="center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876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contextualSpacing/>
        <w:ind w:left="0" w:right="0" w:firstLine="425"/>
        <w:jc w:val="both"/>
        <w:tabs>
          <w:tab w:val="left" w:pos="993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Учебно-методические материалы для самостоятельной работы обучающихся представлены на образовательном портале ЧГУ </w:t>
      </w:r>
      <w:hyperlink r:id="rId10" w:tooltip="https://edu.chsu.ru/portal" w:history="1">
        <w:r>
          <w:rPr>
            <w:rStyle w:val="883"/>
            <w:sz w:val="24"/>
          </w:rPr>
          <w:t xml:space="preserve">https://edu.chsu.ru/portal</w:t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76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</w:pPr>
      <w:r/>
      <w:r/>
    </w:p>
    <w:p>
      <w:pPr>
        <w:pStyle w:val="876"/>
        <w:numPr>
          <w:ilvl w:val="0"/>
          <w:numId w:val="9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Архиватор 7zip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Офисный пакет </w:t>
      </w:r>
      <w:r>
        <w:rPr>
          <w:sz w:val="24"/>
          <w:szCs w:val="22"/>
        </w:rPr>
        <w:t xml:space="preserve">LibreOffice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Foxit</w:t>
      </w:r>
      <w:r>
        <w:rPr>
          <w:sz w:val="24"/>
          <w:szCs w:val="22"/>
        </w:rPr>
        <w:t xml:space="preserve"> Reader 6. Adobe Reader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WinDjView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Программный комплекс "</w:t>
      </w:r>
      <w:r>
        <w:rPr>
          <w:sz w:val="24"/>
          <w:szCs w:val="22"/>
        </w:rPr>
        <w:t xml:space="preserve">Лонгитюд</w:t>
      </w:r>
      <w:r>
        <w:rPr>
          <w:sz w:val="24"/>
          <w:szCs w:val="22"/>
        </w:rPr>
        <w:t xml:space="preserve">-ЭДК"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ОСсемейства</w:t>
      </w:r>
      <w:r>
        <w:rPr>
          <w:sz w:val="24"/>
          <w:szCs w:val="22"/>
        </w:rPr>
        <w:t xml:space="preserve"> Microsoft Windows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76"/>
        <w:numPr>
          <w:ilvl w:val="0"/>
          <w:numId w:val="9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Dexbury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Braille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Translator</w:t>
      </w:r>
      <w:r>
        <w:rPr>
          <w:sz w:val="24"/>
          <w:szCs w:val="22"/>
        </w:rPr>
        <w:t xml:space="preserve"> DBT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jc w:val="both"/>
      </w:pPr>
      <w:r/>
      <w:r/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  <w:sz w:val="20"/>
          <w:szCs w:val="20"/>
        </w:rPr>
      </w:pPr>
      <w:r>
        <w:rPr>
          <w:b/>
          <w:sz w:val="22"/>
          <w:szCs w:val="22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6"/>
        <w:numPr>
          <w:ilvl w:val="0"/>
          <w:numId w:val="10"/>
        </w:numPr>
        <w:rPr>
          <w:bCs/>
          <w:sz w:val="22"/>
          <w:szCs w:val="20"/>
        </w:rPr>
      </w:pPr>
      <w:r>
        <w:rPr>
          <w:sz w:val="24"/>
          <w:szCs w:val="22"/>
        </w:rPr>
        <w:t xml:space="preserve">Браузер </w:t>
      </w:r>
      <w:r>
        <w:rPr>
          <w:sz w:val="24"/>
          <w:szCs w:val="22"/>
        </w:rPr>
        <w:t xml:space="preserve">MozillaFirefox</w:t>
      </w:r>
      <w:r>
        <w:rPr>
          <w:sz w:val="24"/>
          <w:szCs w:val="22"/>
        </w:rPr>
        <w:t xml:space="preserve"> </w:t>
      </w:r>
      <w:r>
        <w:rPr>
          <w:bCs/>
          <w:sz w:val="22"/>
          <w:szCs w:val="20"/>
        </w:rPr>
      </w:r>
      <w:r>
        <w:rPr>
          <w:bCs/>
          <w:sz w:val="22"/>
          <w:szCs w:val="20"/>
        </w:rPr>
      </w:r>
    </w:p>
    <w:p>
      <w:pPr>
        <w:pStyle w:val="876"/>
        <w:numPr>
          <w:ilvl w:val="0"/>
          <w:numId w:val="10"/>
        </w:numPr>
        <w:rPr>
          <w:bCs/>
          <w:sz w:val="22"/>
          <w:szCs w:val="20"/>
        </w:rPr>
      </w:pPr>
      <w:r>
        <w:rPr>
          <w:sz w:val="24"/>
          <w:szCs w:val="22"/>
        </w:rPr>
        <w:t xml:space="preserve">Браузер Google </w:t>
      </w:r>
      <w:r>
        <w:rPr>
          <w:sz w:val="24"/>
          <w:szCs w:val="22"/>
        </w:rPr>
        <w:t xml:space="preserve">Chrome</w:t>
      </w:r>
      <w:r>
        <w:rPr>
          <w:bCs/>
          <w:sz w:val="22"/>
          <w:szCs w:val="20"/>
        </w:rPr>
      </w:r>
      <w:r>
        <w:rPr>
          <w:bCs/>
          <w:sz w:val="22"/>
          <w:szCs w:val="20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6"/>
        <w:numPr>
          <w:ilvl w:val="0"/>
          <w:numId w:val="5"/>
        </w:numPr>
        <w:rPr>
          <w:bCs/>
          <w:sz w:val="24"/>
        </w:rPr>
      </w:pPr>
      <w:r>
        <w:rPr>
          <w:sz w:val="24"/>
        </w:rPr>
        <w:t xml:space="preserve">Смольникова, Л. В. Психология в профессиональной деятельности: курс лекций / Л. В. </w:t>
      </w:r>
      <w:r>
        <w:rPr>
          <w:sz w:val="24"/>
        </w:rPr>
        <w:t xml:space="preserve">Смольникова ;</w:t>
      </w:r>
      <w:r>
        <w:rPr>
          <w:sz w:val="24"/>
        </w:rPr>
        <w:t xml:space="preserve"> Томский государственный университет систем управления и радиоэлектроники (ТУСУР). – </w:t>
      </w:r>
      <w:r>
        <w:rPr>
          <w:sz w:val="24"/>
        </w:rPr>
        <w:t xml:space="preserve">Томск :</w:t>
      </w:r>
      <w:r>
        <w:rPr>
          <w:sz w:val="24"/>
        </w:rPr>
        <w:t xml:space="preserve"> ТУСУР, 2016. – 203 </w:t>
      </w:r>
      <w:r>
        <w:rPr>
          <w:sz w:val="24"/>
        </w:rPr>
        <w:t xml:space="preserve">с. :</w:t>
      </w:r>
      <w:r>
        <w:rPr>
          <w:sz w:val="24"/>
        </w:rPr>
        <w:t xml:space="preserve"> ил. – Режим доступа: по подписке. – URL: </w:t>
      </w:r>
      <w:hyperlink r:id="rId11" w:tooltip="https://biblioclub.ru/index.php?page=book&amp;id=480965" w:history="1">
        <w:r>
          <w:rPr>
            <w:rStyle w:val="883"/>
            <w:sz w:val="24"/>
          </w:rPr>
          <w:t xml:space="preserve">https://biblioclub.ru/index.php?page=book&amp;id=480965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5"/>
        </w:numPr>
        <w:rPr>
          <w:bCs/>
          <w:sz w:val="24"/>
        </w:rPr>
      </w:pPr>
      <w:r>
        <w:rPr>
          <w:sz w:val="24"/>
        </w:rPr>
        <w:t xml:space="preserve">Правдина, Л. Р. Психология профессионального здоровья: учебное пособие / Л. Р. </w:t>
      </w:r>
      <w:r>
        <w:rPr>
          <w:sz w:val="24"/>
        </w:rPr>
        <w:t xml:space="preserve">Правдина ;</w:t>
      </w:r>
      <w:r>
        <w:rPr>
          <w:sz w:val="24"/>
        </w:rPr>
        <w:t xml:space="preserve"> Южный федеральный университет, Академия психологии и педагогики. – </w:t>
      </w:r>
      <w:r>
        <w:rPr>
          <w:sz w:val="24"/>
        </w:rPr>
        <w:t xml:space="preserve">Ростов</w:t>
      </w:r>
      <w:r>
        <w:rPr>
          <w:sz w:val="24"/>
        </w:rPr>
        <w:t xml:space="preserve">-на-</w:t>
      </w:r>
      <w:r>
        <w:rPr>
          <w:sz w:val="24"/>
        </w:rPr>
        <w:t xml:space="preserve">Дону :</w:t>
      </w:r>
      <w:r>
        <w:rPr>
          <w:sz w:val="24"/>
        </w:rPr>
        <w:t xml:space="preserve"> Южный федеральный университет, 2016. – 208 </w:t>
      </w:r>
      <w:r>
        <w:rPr>
          <w:sz w:val="24"/>
        </w:rPr>
        <w:t xml:space="preserve">с. :</w:t>
      </w:r>
      <w:r>
        <w:rPr>
          <w:sz w:val="24"/>
        </w:rPr>
        <w:t xml:space="preserve"> схем., ил., табл. – Режим доступа: по подписке. – URL: </w:t>
      </w:r>
      <w:hyperlink r:id="rId12" w:tooltip="https://biblioclub.ru/index.php?page=book&amp;id=493283" w:history="1">
        <w:r>
          <w:rPr>
            <w:rStyle w:val="883"/>
            <w:sz w:val="24"/>
          </w:rPr>
          <w:t xml:space="preserve">https://biblioclub.ru/index.php?page=book&amp;id=493283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5"/>
        </w:numPr>
        <w:rPr>
          <w:bCs/>
          <w:sz w:val="24"/>
        </w:rPr>
      </w:pPr>
      <w:r>
        <w:rPr>
          <w:sz w:val="24"/>
        </w:rPr>
        <w:t xml:space="preserve">Зинченко, Е. В. Психологические аспекты </w:t>
      </w:r>
      <w:r>
        <w:rPr>
          <w:sz w:val="24"/>
        </w:rPr>
        <w:t xml:space="preserve">стресса :</w:t>
      </w:r>
      <w:r>
        <w:rPr>
          <w:sz w:val="24"/>
        </w:rPr>
        <w:t xml:space="preserve"> учебное пособие / Е. В. Зинченко ; Южный федеральный университет, Академия психологии и педагогики. – </w:t>
      </w:r>
      <w:r>
        <w:rPr>
          <w:sz w:val="24"/>
        </w:rPr>
        <w:t xml:space="preserve">Ростовна</w:t>
      </w:r>
      <w:r>
        <w:rPr>
          <w:sz w:val="24"/>
        </w:rPr>
        <w:t xml:space="preserve">-</w:t>
      </w:r>
      <w:r>
        <w:rPr>
          <w:sz w:val="24"/>
        </w:rPr>
        <w:t xml:space="preserve">Дону :</w:t>
      </w:r>
      <w:r>
        <w:rPr>
          <w:sz w:val="24"/>
        </w:rPr>
        <w:t xml:space="preserve"> Южный федеральный университет, 2017. – 91 </w:t>
      </w:r>
      <w:r>
        <w:rPr>
          <w:sz w:val="24"/>
        </w:rPr>
        <w:t xml:space="preserve">с. :</w:t>
      </w:r>
      <w:r>
        <w:rPr>
          <w:sz w:val="24"/>
        </w:rPr>
        <w:t xml:space="preserve"> схем., табл. – Режим доступа: по подписке. – URL: </w:t>
      </w:r>
      <w:hyperlink r:id="rId13" w:tooltip="https://biblioclub.ru/index.php?page=book&amp;id=493335" w:history="1">
        <w:r>
          <w:rPr>
            <w:rStyle w:val="883"/>
            <w:sz w:val="24"/>
          </w:rPr>
          <w:t xml:space="preserve">https://biblioclub.ru/index.php?page=book&amp;id=493335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5"/>
        </w:numPr>
        <w:rPr>
          <w:bCs/>
          <w:sz w:val="24"/>
        </w:rPr>
      </w:pPr>
      <w:r>
        <w:rPr>
          <w:sz w:val="24"/>
        </w:rPr>
        <w:t xml:space="preserve">Иванова, М. Г. Практические аспекты психологии </w:t>
      </w:r>
      <w:r>
        <w:rPr>
          <w:sz w:val="24"/>
        </w:rPr>
        <w:t xml:space="preserve">здоровья :</w:t>
      </w:r>
      <w:r>
        <w:rPr>
          <w:sz w:val="24"/>
        </w:rPr>
        <w:t xml:space="preserve"> учебное пособие : [16+] / М. Г. Иванова ; Кемеровский государственный университет. – </w:t>
      </w:r>
      <w:r>
        <w:rPr>
          <w:sz w:val="24"/>
        </w:rPr>
        <w:t xml:space="preserve">Кемерово :</w:t>
      </w:r>
      <w:r>
        <w:rPr>
          <w:sz w:val="24"/>
        </w:rPr>
        <w:t xml:space="preserve"> </w:t>
      </w:r>
      <w:r>
        <w:rPr>
          <w:sz w:val="24"/>
        </w:rPr>
        <w:t xml:space="preserve">Кемеровский государственный университет, 2012. – 47 </w:t>
      </w:r>
      <w:r>
        <w:rPr>
          <w:sz w:val="24"/>
        </w:rPr>
        <w:t xml:space="preserve">с. :</w:t>
      </w:r>
      <w:r>
        <w:rPr>
          <w:sz w:val="24"/>
        </w:rPr>
        <w:t xml:space="preserve"> ил. – Режим доступа: по подписке. – URL: </w:t>
      </w:r>
      <w:hyperlink r:id="rId14" w:tooltip="https://biblioclub.ru/index.php?page=book&amp;id=278413" w:history="1">
        <w:r>
          <w:rPr>
            <w:rStyle w:val="883"/>
            <w:sz w:val="24"/>
          </w:rPr>
          <w:t xml:space="preserve">https://biblioclub.ru/index.php?page=book&amp;id=278413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5"/>
        </w:numPr>
        <w:rPr>
          <w:bCs/>
          <w:sz w:val="24"/>
        </w:rPr>
      </w:pPr>
      <w:r>
        <w:rPr>
          <w:sz w:val="24"/>
        </w:rPr>
        <w:t xml:space="preserve">Карр</w:t>
      </w:r>
      <w:r>
        <w:rPr>
          <w:sz w:val="24"/>
        </w:rPr>
        <w:t xml:space="preserve">, В. Это все о способностях. Учебное пособие (руководство) по Конвенции о правах инвалидов / В. </w:t>
      </w:r>
      <w:r>
        <w:rPr>
          <w:sz w:val="24"/>
        </w:rPr>
        <w:t xml:space="preserve">Карр</w:t>
      </w:r>
      <w:r>
        <w:rPr>
          <w:sz w:val="24"/>
        </w:rPr>
        <w:t xml:space="preserve">. - </w:t>
      </w:r>
      <w:r>
        <w:rPr>
          <w:sz w:val="24"/>
        </w:rPr>
        <w:t xml:space="preserve">М. :</w:t>
      </w:r>
      <w:r>
        <w:rPr>
          <w:sz w:val="24"/>
        </w:rPr>
        <w:t xml:space="preserve"> Информационный центр ООН, 2009. - 90 с. - ISBN 978- 92- 806-4433-</w:t>
      </w:r>
      <w:r>
        <w:rPr>
          <w:sz w:val="24"/>
        </w:rPr>
        <w:t xml:space="preserve">3 ;</w:t>
      </w:r>
      <w:r>
        <w:rPr>
          <w:sz w:val="24"/>
        </w:rPr>
        <w:t xml:space="preserve"> То же [Электронный ресурс]. - URL: </w:t>
      </w:r>
      <w:hyperlink r:id="rId15" w:tooltip="http://biblioclub.ru/index.php?page=book&amp;id=118467" w:history="1">
        <w:r>
          <w:rPr>
            <w:rStyle w:val="883"/>
            <w:sz w:val="24"/>
          </w:rPr>
          <w:t xml:space="preserve">http://biblioclub.ru/index.php?page=book&amp;id=118467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5"/>
        </w:numPr>
        <w:rPr>
          <w:bCs/>
          <w:sz w:val="24"/>
        </w:rPr>
      </w:pPr>
      <w:r>
        <w:rPr>
          <w:sz w:val="24"/>
        </w:rPr>
        <w:t xml:space="preserve">Скоробогатов, А.В. Нормативно-правовое обеспечение </w:t>
      </w:r>
      <w:r>
        <w:rPr>
          <w:sz w:val="24"/>
        </w:rPr>
        <w:t xml:space="preserve">образования :</w:t>
      </w:r>
      <w:r>
        <w:rPr>
          <w:sz w:val="24"/>
        </w:rPr>
        <w:t xml:space="preserve"> учебное пособие / А.В. Скоробогатов, Н.Р. Борисова ; Институт экономики, управления и права (г. Казань). - </w:t>
      </w:r>
      <w:r>
        <w:rPr>
          <w:sz w:val="24"/>
        </w:rPr>
        <w:t xml:space="preserve">Казань :</w:t>
      </w:r>
      <w:r>
        <w:rPr>
          <w:sz w:val="24"/>
        </w:rPr>
        <w:t xml:space="preserve"> Познание, 2014. - 288 с. е [Электронный ресурс]. - URL: </w:t>
      </w:r>
      <w:hyperlink r:id="rId16" w:tooltip="http://biblioclub.ru/index.php?page=book&amp;id=257983" w:history="1">
        <w:r>
          <w:rPr>
            <w:rStyle w:val="883"/>
            <w:sz w:val="24"/>
          </w:rPr>
          <w:t xml:space="preserve">http://biblioclub.ru/index.php?page=book&amp;id=257983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5"/>
        </w:numPr>
        <w:rPr>
          <w:bCs/>
          <w:sz w:val="24"/>
        </w:rPr>
      </w:pPr>
      <w:r>
        <w:rPr>
          <w:sz w:val="24"/>
        </w:rPr>
        <w:t xml:space="preserve">Психофизиология профессиональной деятельности: учебник и практикум для прикладного </w:t>
      </w:r>
      <w:r>
        <w:rPr>
          <w:sz w:val="24"/>
        </w:rPr>
        <w:t xml:space="preserve">бакалавриата :</w:t>
      </w:r>
      <w:r>
        <w:rPr>
          <w:sz w:val="24"/>
        </w:rPr>
        <w:t xml:space="preserve"> [16+] / О. О. Заварзина, Р. В. Козьяков, Н. Р. </w:t>
      </w:r>
      <w:r>
        <w:rPr>
          <w:sz w:val="24"/>
        </w:rPr>
        <w:t xml:space="preserve">Коро</w:t>
      </w:r>
      <w:r>
        <w:rPr>
          <w:sz w:val="24"/>
        </w:rPr>
        <w:t xml:space="preserve"> и др. – Москва ; Берлин : Директ-Медиа, 2015. – 546 </w:t>
      </w:r>
      <w:r>
        <w:rPr>
          <w:sz w:val="24"/>
        </w:rPr>
        <w:t xml:space="preserve">с. :</w:t>
      </w:r>
      <w:r>
        <w:rPr>
          <w:sz w:val="24"/>
        </w:rPr>
        <w:t xml:space="preserve"> ил. – Режим доступа: по подписке. – URL: </w:t>
      </w:r>
      <w:hyperlink r:id="rId17" w:tooltip="https://biblioclub.ru/index.php?page=book&amp;id=298131" w:history="1">
        <w:r>
          <w:rPr>
            <w:rStyle w:val="883"/>
            <w:sz w:val="24"/>
          </w:rPr>
          <w:t xml:space="preserve">https://biblioclub.ru/index.php?page=book&amp;id=298131</w:t>
        </w:r>
      </w:hyperlink>
      <w:r>
        <w:rPr>
          <w:sz w:val="24"/>
        </w:rPr>
        <w:t xml:space="preserve"> </w:t>
      </w:r>
      <w:r>
        <w:rPr>
          <w:bCs/>
          <w:sz w:val="24"/>
        </w:rPr>
      </w:r>
      <w:r>
        <w:rPr>
          <w:bCs/>
          <w:sz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6"/>
        <w:numPr>
          <w:ilvl w:val="0"/>
          <w:numId w:val="6"/>
        </w:numPr>
        <w:rPr>
          <w:bCs/>
          <w:sz w:val="24"/>
        </w:rPr>
      </w:pPr>
      <w:r>
        <w:rPr>
          <w:sz w:val="24"/>
        </w:rPr>
        <w:t xml:space="preserve">Фёдорова М.Ю. Нормативно-правовое обеспечение </w:t>
      </w:r>
      <w:r>
        <w:rPr>
          <w:sz w:val="24"/>
        </w:rPr>
        <w:t xml:space="preserve">образования :</w:t>
      </w:r>
      <w:r>
        <w:rPr>
          <w:sz w:val="24"/>
        </w:rPr>
        <w:t xml:space="preserve"> учебное пособие для вузов. - 4-е </w:t>
      </w:r>
      <w:r>
        <w:rPr>
          <w:sz w:val="24"/>
        </w:rPr>
        <w:t xml:space="preserve">изд</w:t>
      </w:r>
      <w:r>
        <w:rPr>
          <w:sz w:val="24"/>
        </w:rPr>
        <w:t xml:space="preserve">.,</w:t>
      </w:r>
      <w:r>
        <w:rPr>
          <w:sz w:val="24"/>
        </w:rPr>
        <w:t xml:space="preserve">испр</w:t>
      </w:r>
      <w:r>
        <w:rPr>
          <w:sz w:val="24"/>
        </w:rPr>
        <w:t xml:space="preserve">. - </w:t>
      </w:r>
      <w:r>
        <w:rPr>
          <w:sz w:val="24"/>
        </w:rPr>
        <w:t xml:space="preserve">Москва :</w:t>
      </w:r>
      <w:r>
        <w:rPr>
          <w:sz w:val="24"/>
        </w:rPr>
        <w:t xml:space="preserve"> ИЦ "Академия", 2013. - 176 с.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6"/>
        </w:numPr>
        <w:rPr>
          <w:bCs/>
          <w:sz w:val="24"/>
        </w:rPr>
      </w:pPr>
      <w:r>
        <w:rPr>
          <w:sz w:val="24"/>
        </w:rPr>
        <w:t xml:space="preserve">Правовое обеспечение социальной </w:t>
      </w:r>
      <w:r>
        <w:rPr>
          <w:sz w:val="24"/>
        </w:rPr>
        <w:t xml:space="preserve">работы :</w:t>
      </w:r>
      <w:r>
        <w:rPr>
          <w:sz w:val="24"/>
        </w:rPr>
        <w:t xml:space="preserve"> учебник : [16+] / под ред. О. Г. Прохоровой. – </w:t>
      </w:r>
      <w:r>
        <w:rPr>
          <w:sz w:val="24"/>
        </w:rPr>
        <w:t xml:space="preserve">Москва :</w:t>
      </w:r>
      <w:r>
        <w:rPr>
          <w:sz w:val="24"/>
        </w:rPr>
        <w:t xml:space="preserve"> Дашков и К°, 2018. – 253 </w:t>
      </w:r>
      <w:r>
        <w:rPr>
          <w:sz w:val="24"/>
        </w:rPr>
        <w:t xml:space="preserve">с. :</w:t>
      </w:r>
      <w:r>
        <w:rPr>
          <w:sz w:val="24"/>
        </w:rPr>
        <w:t xml:space="preserve"> ил. – (Учебные издания для бакалавров). – Режим доступа: по подписке. – URL: </w:t>
      </w:r>
      <w:hyperlink r:id="rId18" w:tooltip="https://biblioclub.ru/index.php?page=book&amp;id=496154" w:history="1">
        <w:r>
          <w:rPr>
            <w:rStyle w:val="883"/>
            <w:sz w:val="24"/>
          </w:rPr>
          <w:t xml:space="preserve">https://biblioclub.ru/index.php?page=book&amp;id=496154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6"/>
        </w:numPr>
        <w:rPr>
          <w:bCs/>
          <w:sz w:val="24"/>
        </w:rPr>
      </w:pPr>
      <w:r>
        <w:rPr>
          <w:sz w:val="24"/>
        </w:rPr>
        <w:t xml:space="preserve">Джанерьян</w:t>
      </w:r>
      <w:r>
        <w:rPr>
          <w:sz w:val="24"/>
        </w:rPr>
        <w:t xml:space="preserve">, С.Т. Психология профессионального самосознания: учебник / С.Т. </w:t>
      </w:r>
      <w:r>
        <w:rPr>
          <w:sz w:val="24"/>
        </w:rPr>
        <w:t xml:space="preserve">Джанерьян</w:t>
      </w:r>
      <w:r>
        <w:rPr>
          <w:sz w:val="24"/>
        </w:rPr>
        <w:t xml:space="preserve">; Федеральное агентство по образованию Российской Федерации, Федеральное государственное образовательное учреждение высшего профессионального образования "Южный федеральный университет", Факультет психологии. - </w:t>
      </w:r>
      <w:r>
        <w:rPr>
          <w:sz w:val="24"/>
        </w:rPr>
        <w:t xml:space="preserve">Ростов</w:t>
      </w:r>
      <w:r>
        <w:rPr>
          <w:sz w:val="24"/>
        </w:rPr>
        <w:t xml:space="preserve">-н/Д: Издательство Южного федерального университета, 2008. - 240 с. [Электронный ресурс]. - URL: </w:t>
      </w:r>
      <w:hyperlink r:id="rId19" w:tooltip="http://biblioclub.ru/index.php?page=book&amp;id=240924" w:history="1">
        <w:r>
          <w:rPr>
            <w:rStyle w:val="883"/>
            <w:sz w:val="24"/>
          </w:rPr>
          <w:t xml:space="preserve">http://biblioclub.ru/index.php?page=book&amp;id=240924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6"/>
        </w:numPr>
        <w:rPr>
          <w:bCs/>
          <w:sz w:val="24"/>
        </w:rPr>
      </w:pPr>
      <w:r>
        <w:rPr>
          <w:sz w:val="24"/>
        </w:rPr>
        <w:t xml:space="preserve">Стресс, выгорание, </w:t>
      </w:r>
      <w:r>
        <w:rPr>
          <w:sz w:val="24"/>
        </w:rPr>
        <w:t xml:space="preserve">совладание</w:t>
      </w:r>
      <w:r>
        <w:rPr>
          <w:sz w:val="24"/>
        </w:rPr>
        <w:t xml:space="preserve"> в современном контексте / ред. А. Л. Журавлев, Е. А. Сергиенко. – </w:t>
      </w:r>
      <w:r>
        <w:rPr>
          <w:sz w:val="24"/>
        </w:rPr>
        <w:t xml:space="preserve">Москва :</w:t>
      </w:r>
      <w:r>
        <w:rPr>
          <w:sz w:val="24"/>
        </w:rPr>
        <w:t xml:space="preserve"> Институт психологии РАН, 2011. – 512 с. – (Психология социальных явлений). – Режим доступа: по подписке. – URL: </w:t>
      </w:r>
      <w:hyperlink r:id="rId20" w:tooltip="https://biblioclub.ru/index.php?page=book&amp;id=86285" w:history="1">
        <w:r>
          <w:rPr>
            <w:rStyle w:val="883"/>
            <w:sz w:val="24"/>
          </w:rPr>
          <w:t xml:space="preserve">https://biblioclub.ru/index.php?page=book&amp;id=86285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6"/>
        </w:numPr>
        <w:rPr>
          <w:bCs/>
          <w:sz w:val="24"/>
        </w:rPr>
      </w:pPr>
      <w:r>
        <w:rPr>
          <w:sz w:val="24"/>
        </w:rPr>
        <w:t xml:space="preserve">Абашидзе, А.Х. Универсальные механизмы защиты прав </w:t>
      </w:r>
      <w:r>
        <w:rPr>
          <w:sz w:val="24"/>
        </w:rPr>
        <w:t xml:space="preserve">человека :</w:t>
      </w:r>
      <w:r>
        <w:rPr>
          <w:sz w:val="24"/>
        </w:rPr>
        <w:t xml:space="preserve"> учебное пособие / А.Х. Абашидзе, А.О. </w:t>
      </w:r>
      <w:r>
        <w:rPr>
          <w:sz w:val="24"/>
        </w:rPr>
        <w:t xml:space="preserve">Гольтяев</w:t>
      </w:r>
      <w:r>
        <w:rPr>
          <w:sz w:val="24"/>
        </w:rPr>
        <w:t xml:space="preserve">. - </w:t>
      </w:r>
      <w:r>
        <w:rPr>
          <w:sz w:val="24"/>
        </w:rPr>
        <w:t xml:space="preserve">М. :</w:t>
      </w:r>
      <w:r>
        <w:rPr>
          <w:sz w:val="24"/>
        </w:rPr>
        <w:t xml:space="preserve"> </w:t>
      </w:r>
      <w:r>
        <w:rPr>
          <w:sz w:val="24"/>
        </w:rPr>
        <w:t xml:space="preserve">Юнити</w:t>
      </w:r>
      <w:r>
        <w:rPr>
          <w:sz w:val="24"/>
        </w:rPr>
        <w:t xml:space="preserve">-Дана, 2013. - 140 с. - ISBN 978-5-238- 02354-</w:t>
      </w:r>
      <w:r>
        <w:rPr>
          <w:sz w:val="24"/>
        </w:rPr>
        <w:t xml:space="preserve">0 ;</w:t>
      </w:r>
      <w:r>
        <w:rPr>
          <w:sz w:val="24"/>
        </w:rPr>
        <w:t xml:space="preserve"> То же [Электронный ресурс]. - URL: </w:t>
      </w:r>
      <w:hyperlink r:id="rId21" w:tooltip="http://biblioclub.ru/index.php?page=book&amp;id=118968" w:history="1">
        <w:r>
          <w:rPr>
            <w:rStyle w:val="883"/>
            <w:sz w:val="24"/>
          </w:rPr>
          <w:t xml:space="preserve">http://biblioclub.ru/index.php?page=book&amp;id=118968</w:t>
        </w:r>
      </w:hyperlink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6"/>
        </w:numPr>
        <w:rPr>
          <w:bCs/>
          <w:sz w:val="24"/>
        </w:rPr>
      </w:pPr>
      <w:r>
        <w:rPr>
          <w:sz w:val="24"/>
        </w:rPr>
        <w:t xml:space="preserve">Васильчиков, В.М. Правовое обеспечение социальной </w:t>
      </w:r>
      <w:r>
        <w:rPr>
          <w:sz w:val="24"/>
        </w:rPr>
        <w:t xml:space="preserve">работы :</w:t>
      </w:r>
      <w:r>
        <w:rPr>
          <w:sz w:val="24"/>
        </w:rPr>
        <w:t xml:space="preserve"> учебное пособие для вузов. - </w:t>
      </w:r>
      <w:r>
        <w:rPr>
          <w:sz w:val="24"/>
        </w:rPr>
        <w:t xml:space="preserve">Москва :</w:t>
      </w:r>
      <w:r>
        <w:rPr>
          <w:sz w:val="24"/>
        </w:rPr>
        <w:t xml:space="preserve"> ИЦ "Академия", 2009. - 336 с. - (Высшее профессиональное образование). - </w:t>
      </w:r>
      <w:r>
        <w:rPr>
          <w:sz w:val="24"/>
        </w:rPr>
        <w:t xml:space="preserve">Библиогр</w:t>
      </w:r>
      <w:r>
        <w:rPr>
          <w:sz w:val="24"/>
        </w:rPr>
        <w:t xml:space="preserve">.: с.333 - 334. - ISBN 978-5-7695-5943-3.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76"/>
        <w:numPr>
          <w:ilvl w:val="0"/>
          <w:numId w:val="6"/>
        </w:numPr>
        <w:rPr>
          <w:bCs/>
          <w:sz w:val="24"/>
        </w:rPr>
      </w:pPr>
      <w:r>
        <w:rPr>
          <w:sz w:val="24"/>
        </w:rPr>
        <w:t xml:space="preserve">Трапезникова, И. С. Правовое обеспечение социальной </w:t>
      </w:r>
      <w:r>
        <w:rPr>
          <w:sz w:val="24"/>
        </w:rPr>
        <w:t xml:space="preserve">работы :</w:t>
      </w:r>
      <w:r>
        <w:rPr>
          <w:sz w:val="24"/>
        </w:rPr>
        <w:t xml:space="preserve"> учебное пособие / И. С. Трапезникова. – </w:t>
      </w:r>
      <w:r>
        <w:rPr>
          <w:sz w:val="24"/>
        </w:rPr>
        <w:t xml:space="preserve">Кемерово :</w:t>
      </w:r>
      <w:r>
        <w:rPr>
          <w:sz w:val="24"/>
        </w:rPr>
        <w:t xml:space="preserve"> Кемеровский государственный университет, 2012. – 112 с. – Режим доступа: по подписке. – URL: </w:t>
      </w:r>
      <w:hyperlink r:id="rId22" w:tooltip="https://biblioclub.ru/index.php?page=book&amp;id=232819" w:history="1">
        <w:r>
          <w:rPr>
            <w:rStyle w:val="883"/>
            <w:sz w:val="24"/>
          </w:rPr>
          <w:t xml:space="preserve">https://biblioclub.ru/index.php?page=book&amp;id=232819</w:t>
        </w:r>
      </w:hyperlink>
      <w:r>
        <w:rPr>
          <w:sz w:val="24"/>
        </w:rPr>
        <w:t xml:space="preserve"> </w:t>
      </w:r>
      <w:r>
        <w:rPr>
          <w:bCs/>
          <w:sz w:val="24"/>
        </w:rPr>
      </w:r>
      <w:r>
        <w:rPr>
          <w:bCs/>
          <w:sz w:val="24"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pStyle w:val="876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Электронный каталог библиотеки университета – </w:t>
      </w:r>
      <w:hyperlink r:id="rId23" w:tooltip="https://clck.ru/UwQ5x" w:history="1">
        <w:r>
          <w:rPr>
            <w:rStyle w:val="883"/>
            <w:sz w:val="24"/>
          </w:rPr>
          <w:t xml:space="preserve">https://clck.ru/UwQ5x</w:t>
        </w:r>
      </w:hyperlink>
      <w:r>
        <w:rPr>
          <w:sz w:val="24"/>
        </w:rPr>
      </w:r>
      <w:r>
        <w:rPr>
          <w:sz w:val="24"/>
        </w:rPr>
      </w:r>
    </w:p>
    <w:p>
      <w:pPr>
        <w:pStyle w:val="876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Электронно-библиотечная система «Университетская библиотека </w:t>
      </w:r>
      <w:r>
        <w:rPr>
          <w:sz w:val="24"/>
        </w:rPr>
        <w:t xml:space="preserve">online</w:t>
      </w:r>
      <w:r>
        <w:rPr>
          <w:sz w:val="24"/>
        </w:rPr>
        <w:t xml:space="preserve">» – </w:t>
      </w:r>
      <w:hyperlink r:id="rId24" w:tooltip="https://biblioclub.ru/" w:history="1">
        <w:r>
          <w:rPr>
            <w:rStyle w:val="883"/>
            <w:sz w:val="24"/>
          </w:rPr>
          <w:t xml:space="preserve">https://biblioclub.ru/</w:t>
        </w:r>
      </w:hyperlink>
      <w:r>
        <w:rPr>
          <w:sz w:val="24"/>
        </w:rPr>
      </w:r>
      <w:r>
        <w:rPr>
          <w:sz w:val="24"/>
        </w:rPr>
      </w:r>
    </w:p>
    <w:p>
      <w:pPr>
        <w:pStyle w:val="876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Педагогическая библиотека МПГУ – </w:t>
      </w:r>
      <w:hyperlink r:id="rId25" w:tooltip="http://www.pedlib.ru" w:history="1">
        <w:r>
          <w:rPr>
            <w:rStyle w:val="883"/>
            <w:sz w:val="24"/>
          </w:rPr>
          <w:t xml:space="preserve">www.pedlib.ru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876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Электронная библиотека «Куб» – </w:t>
      </w:r>
      <w:hyperlink r:id="rId26" w:tooltip="http://www.koob.ru" w:history="1">
        <w:r>
          <w:rPr>
            <w:rStyle w:val="883"/>
            <w:sz w:val="24"/>
          </w:rPr>
          <w:t xml:space="preserve">www.koob.ru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876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Федеральный портал «Российское образование» – </w:t>
      </w:r>
      <w:hyperlink r:id="rId27" w:tooltip="http://www.edu.ru" w:history="1">
        <w:r>
          <w:rPr>
            <w:rStyle w:val="883"/>
            <w:sz w:val="24"/>
          </w:rPr>
          <w:t xml:space="preserve">www.edu.ru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876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Официальный сайт Института коррекционной педагогики РАО – </w:t>
      </w:r>
      <w:hyperlink r:id="rId28" w:tooltip="https://ikp-rao.ru/" w:history="1">
        <w:r>
          <w:rPr>
            <w:rStyle w:val="883"/>
            <w:sz w:val="24"/>
          </w:rPr>
          <w:t xml:space="preserve">https://ikp-rao.ru/</w:t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t xml:space="preserve">Профессиональная адаптация и основы социально-правовых знаний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firstLine="360"/>
        <w:jc w:val="both"/>
      </w:pPr>
      <w:r>
        <w:t xml:space="preserve">1. Осуществите подбор профессий, рекомендуемых с учетом группы заболеваний и противопоказаний. </w:t>
      </w:r>
      <w:r/>
    </w:p>
    <w:p>
      <w:pPr>
        <w:ind w:firstLine="360"/>
        <w:jc w:val="both"/>
      </w:pPr>
      <w:r>
        <w:t xml:space="preserve">2. Напишите эссе на тему «Становление моего профессионального самоопределения на разных стадиях возрастного развития». </w:t>
      </w:r>
      <w:r/>
    </w:p>
    <w:p>
      <w:pPr>
        <w:ind w:firstLine="360"/>
        <w:jc w:val="both"/>
      </w:pPr>
      <w:r>
        <w:t xml:space="preserve">3. Определить фазы и кризисы развития в биографии известного профессионала по профилю выбранной специальности. </w:t>
      </w:r>
      <w:r/>
    </w:p>
    <w:p>
      <w:pPr>
        <w:ind w:firstLine="360"/>
        <w:jc w:val="both"/>
      </w:pPr>
      <w:r>
        <w:t xml:space="preserve">4. Проанализируйте этапы профессионального становления известного в вашей сфере профессиональной подготовки специалиста, имеющего ОВЗ или инвалидность. Выделите ключевые условия профессионального роста. </w:t>
      </w:r>
      <w:r/>
    </w:p>
    <w:p>
      <w:pPr>
        <w:ind w:firstLine="360"/>
        <w:jc w:val="both"/>
      </w:pPr>
      <w:r>
        <w:t xml:space="preserve">5. Составьте набор ключевых слов, имеющих отношение к вашей профессиональной деятельности. Какие должности и специальности соответствуют вашему 3 направлению подготовки. Соотнесите с квалификационным справочником. </w:t>
      </w:r>
      <w:r/>
    </w:p>
    <w:p>
      <w:pPr>
        <w:ind w:firstLine="360"/>
        <w:jc w:val="both"/>
      </w:pPr>
      <w:r>
        <w:t xml:space="preserve">6. Оцените ситуацию, складывающейся на рынке труда в регионе. Оцените перспективность выбранной вами специальности через 4-6 лет. </w:t>
      </w:r>
      <w:r/>
    </w:p>
    <w:p>
      <w:pPr>
        <w:ind w:firstLine="360"/>
        <w:jc w:val="both"/>
      </w:pPr>
      <w:r>
        <w:t xml:space="preserve">7. Оценить преимущества выбранной специальности, определить недостатки и достоинства своего профессионального выбора.</w:t>
      </w:r>
      <w:r/>
    </w:p>
    <w:p>
      <w:pPr>
        <w:ind w:firstLine="360"/>
        <w:jc w:val="both"/>
      </w:pPr>
      <w:r>
        <w:t xml:space="preserve">8. Выполните творческую работу (проект), проанализировав существующие нормативно-правовые регламенты в отношении лиц с ОВЗ и инвалидностью. Примерная тематика проектов:</w:t>
      </w:r>
      <w:r/>
    </w:p>
    <w:p>
      <w:pPr>
        <w:ind w:firstLine="360"/>
        <w:jc w:val="both"/>
      </w:pPr>
      <w:r>
        <w:t xml:space="preserve"> </w:t>
      </w:r>
      <w:r>
        <w:rPr>
          <w:rFonts w:ascii="Symbol" w:hAnsi="Symbol" w:eastAsia="Symbol" w:cs="Symbol"/>
        </w:rPr>
        <w:t xml:space="preserve">-</w:t>
      </w:r>
      <w:r>
        <w:t xml:space="preserve"> Реализация беспрепятственного доступа инвалидов к информации.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Реализация беспрепятственного доступа инвалидам к объектам социальной инфраструктуры.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Обеспечение гарантий трудовой занятости инвалидов.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Социальная модель инвалидности.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Особенности социализации детей-инвалидов.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Отражение проблем инвалидов в СМИ и средствах Internet.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Уровень толерантного отношения к инвалидам как показатель гуманности общественности отношений и развития социальной интеграции и демократии.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Реализация прав детей-инвалидов на образование, на право выбора типа образовательного учреждения. </w:t>
      </w:r>
      <w:r/>
    </w:p>
    <w:p>
      <w:pPr>
        <w:ind w:firstLine="360"/>
        <w:jc w:val="both"/>
      </w:pPr>
      <w:r>
        <w:rPr>
          <w:rFonts w:ascii="Symbol" w:hAnsi="Symbol" w:eastAsia="Symbol" w:cs="Symbol"/>
        </w:rPr>
        <w:t xml:space="preserve">-</w:t>
      </w:r>
      <w:r>
        <w:t xml:space="preserve"> Реализация прав инвалидов на высшее образования. </w:t>
      </w:r>
      <w:r/>
    </w:p>
    <w:p>
      <w:pPr>
        <w:ind w:firstLine="360"/>
        <w:jc w:val="both"/>
        <w:rPr>
          <w:bCs/>
          <w:highlight w:val="yellow"/>
        </w:rPr>
      </w:pPr>
      <w:r>
        <w:rPr>
          <w:rFonts w:ascii="Symbol" w:hAnsi="Symbol" w:eastAsia="Symbol" w:cs="Symbol"/>
        </w:rPr>
        <w:t xml:space="preserve">-</w:t>
      </w:r>
      <w:r>
        <w:t xml:space="preserve"> Обеспечение доступности высшего образования для инвалидов.</w:t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r>
        <w:t xml:space="preserve">1. Конвенция о правах инвалидов является обязательным документом </w:t>
      </w:r>
      <w:r/>
    </w:p>
    <w:p>
      <w:r>
        <w:t xml:space="preserve">a. для всех государств. </w:t>
      </w:r>
      <w:r/>
    </w:p>
    <w:p>
      <w:r>
        <w:t xml:space="preserve">b. для государств, ратифицировавших конвенцию c. для стран ЕЭС. </w:t>
      </w:r>
      <w:r/>
    </w:p>
    <w:p>
      <w:r>
        <w:t xml:space="preserve">d. для государств, е входящих в категорию «страны третьего мира» </w:t>
      </w:r>
      <w:r/>
    </w:p>
    <w:p>
      <w:r>
        <w:t xml:space="preserve">2. Третья группа инвалидности устанавливается на срок: </w:t>
      </w:r>
      <w:r/>
    </w:p>
    <w:p>
      <w:r>
        <w:t xml:space="preserve">a. Бессрочно </w:t>
      </w:r>
      <w:r/>
    </w:p>
    <w:p>
      <w:r>
        <w:t xml:space="preserve">b. Один год </w:t>
      </w:r>
      <w:r/>
    </w:p>
    <w:p>
      <w:r>
        <w:t xml:space="preserve">c. Два года </w:t>
      </w:r>
      <w:r/>
    </w:p>
    <w:p>
      <w:r>
        <w:t xml:space="preserve">d. Три года </w:t>
      </w:r>
      <w:r/>
    </w:p>
    <w:p>
      <w:r>
        <w:t xml:space="preserve">3. В России действует … концепция инвалидности </w:t>
      </w:r>
      <w:r/>
    </w:p>
    <w:p>
      <w:r>
        <w:t xml:space="preserve">a. Медицинская </w:t>
      </w:r>
      <w:r/>
    </w:p>
    <w:p>
      <w:r>
        <w:t xml:space="preserve">b. Социальная </w:t>
      </w:r>
      <w:r/>
    </w:p>
    <w:p>
      <w:r>
        <w:t xml:space="preserve">c. Психолого-педагогическая </w:t>
      </w:r>
      <w:r/>
    </w:p>
    <w:p>
      <w:r>
        <w:t xml:space="preserve">d. Медико-социально-педагогическая </w:t>
      </w:r>
      <w:r/>
    </w:p>
    <w:p>
      <w:r>
        <w:t xml:space="preserve">4. Граждане направляются на медико-социальную экспертизу следующими институтами:</w:t>
      </w:r>
      <w:r>
        <w:t xml:space="preserve">'</w:t>
      </w:r>
      <w:r/>
    </w:p>
    <w:p>
      <w:r>
        <w:t xml:space="preserve">a. учреждение здравоохранения </w:t>
      </w:r>
      <w:r/>
    </w:p>
    <w:p>
      <w:r>
        <w:t xml:space="preserve">b. орган социальной защиты населения </w:t>
      </w:r>
      <w:r/>
    </w:p>
    <w:p>
      <w:r>
        <w:t xml:space="preserve">c. местные органы обязательного комиссии по установлению инвалидности </w:t>
      </w:r>
      <w:r/>
    </w:p>
    <w:p>
      <w:r>
        <w:t xml:space="preserve">a. медицинского страхования</w:t>
      </w:r>
      <w:r/>
    </w:p>
    <w:p>
      <w:r>
        <w:t xml:space="preserve">5. Все пособия, компенсации, льготы по социальному обеспечению в РФ: </w:t>
      </w:r>
      <w:r/>
    </w:p>
    <w:p>
      <w:r>
        <w:t xml:space="preserve">b. имеют строго целевое назначение c. назначаются всем гражданам государства и иностранцам </w:t>
      </w:r>
      <w:r/>
    </w:p>
    <w:p>
      <w:r>
        <w:t xml:space="preserve">d. назначаются всем гражданам государства </w:t>
      </w:r>
      <w:r/>
    </w:p>
    <w:p>
      <w:pPr>
        <w:rPr>
          <w:bCs/>
          <w:color w:val="000000"/>
          <w:highlight w:val="yellow"/>
        </w:rPr>
      </w:pPr>
      <w:r>
        <w:t xml:space="preserve">e. назначаются всем гражданам государства и иностранцам, удовлетворяющим условиям международных договоров</w:t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t xml:space="preserve">Профессиональная адаптация и основы социально-правовых знаний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Учебно-методические материалы для самостоятельной работы обучающихся представлены на образовательном портале ЧГУ </w:t>
      </w:r>
      <w:hyperlink r:id="rId29" w:tooltip="https://edu.chsu.ru/portal" w:history="1">
        <w:r>
          <w:rPr>
            <w:rStyle w:val="883"/>
          </w:rPr>
          <w:t xml:space="preserve">https://edu.chsu.ru/portal</w:t>
        </w:r>
      </w:hyperlink>
      <w: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pStyle w:val="877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49"/>
    <w:next w:val="849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basedOn w:val="850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49"/>
    <w:next w:val="849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0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0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0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0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0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0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49"/>
    <w:next w:val="849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0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49"/>
    <w:next w:val="849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0"/>
    <w:link w:val="696"/>
    <w:uiPriority w:val="10"/>
    <w:rPr>
      <w:sz w:val="48"/>
      <w:szCs w:val="48"/>
    </w:rPr>
  </w:style>
  <w:style w:type="paragraph" w:styleId="698">
    <w:name w:val="Subtitle"/>
    <w:basedOn w:val="849"/>
    <w:next w:val="849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0"/>
    <w:link w:val="698"/>
    <w:uiPriority w:val="11"/>
    <w:rPr>
      <w:sz w:val="24"/>
      <w:szCs w:val="24"/>
    </w:rPr>
  </w:style>
  <w:style w:type="paragraph" w:styleId="700">
    <w:name w:val="Quote"/>
    <w:basedOn w:val="849"/>
    <w:next w:val="849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9"/>
    <w:next w:val="849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0"/>
    <w:link w:val="704"/>
    <w:uiPriority w:val="99"/>
  </w:style>
  <w:style w:type="paragraph" w:styleId="706">
    <w:name w:val="Footer"/>
    <w:basedOn w:val="849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0"/>
    <w:link w:val="706"/>
    <w:uiPriority w:val="99"/>
  </w:style>
  <w:style w:type="character" w:styleId="708">
    <w:name w:val="Caption Char"/>
    <w:basedOn w:val="873"/>
    <w:link w:val="706"/>
    <w:uiPriority w:val="99"/>
  </w:style>
  <w:style w:type="table" w:styleId="709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8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2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5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9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rFonts w:eastAsia="Times New Roman" w:cs="Times New Roman"/>
      <w:lang w:val="ru-RU" w:bidi="ar-SA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WW8Num1z0"/>
    <w:qFormat/>
    <w:rPr>
      <w:rFonts w:ascii="Symbol" w:hAnsi="Symbol" w:cs="Symbol"/>
    </w:rPr>
  </w:style>
  <w:style w:type="character" w:styleId="854" w:customStyle="1">
    <w:name w:val="WW8Num1z1"/>
    <w:qFormat/>
    <w:rPr>
      <w:rFonts w:ascii="Courier New" w:hAnsi="Courier New" w:cs="Times New Roman"/>
    </w:rPr>
  </w:style>
  <w:style w:type="character" w:styleId="855" w:customStyle="1">
    <w:name w:val="WW8Num1z2"/>
    <w:qFormat/>
    <w:rPr>
      <w:rFonts w:ascii="Wingdings" w:hAnsi="Wingdings" w:cs="Wingdings"/>
    </w:rPr>
  </w:style>
  <w:style w:type="character" w:styleId="856" w:customStyle="1">
    <w:name w:val="WW8Num2z0"/>
    <w:qFormat/>
    <w:rPr>
      <w:rFonts w:cs="Times New Roman"/>
    </w:rPr>
  </w:style>
  <w:style w:type="character" w:styleId="857" w:customStyle="1">
    <w:name w:val="WW8Num2z1"/>
    <w:qFormat/>
  </w:style>
  <w:style w:type="character" w:styleId="858" w:customStyle="1">
    <w:name w:val="WW8Num2z2"/>
    <w:qFormat/>
  </w:style>
  <w:style w:type="character" w:styleId="859" w:customStyle="1">
    <w:name w:val="WW8Num2z3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Footnote Text Char"/>
    <w:basedOn w:val="850"/>
    <w:qFormat/>
    <w:rPr>
      <w:rFonts w:ascii="Calibri" w:hAnsi="Calibri" w:cs="Calibri"/>
      <w:lang w:val="ru-RU" w:bidi="ar-SA"/>
    </w:rPr>
  </w:style>
  <w:style w:type="character" w:styleId="866" w:customStyle="1">
    <w:name w:val="Footnote Characters"/>
    <w:basedOn w:val="850"/>
    <w:qFormat/>
    <w:rPr>
      <w:rFonts w:ascii="Times New Roman" w:hAnsi="Times New Roman" w:cs="Times New Roman"/>
      <w:vertAlign w:val="superscript"/>
    </w:rPr>
  </w:style>
  <w:style w:type="character" w:styleId="867" w:customStyle="1">
    <w:name w:val="Footnote Anchor"/>
    <w:rPr>
      <w:vertAlign w:val="superscript"/>
    </w:rPr>
  </w:style>
  <w:style w:type="character" w:styleId="868" w:customStyle="1">
    <w:name w:val="Endnote Anchor"/>
    <w:rPr>
      <w:vertAlign w:val="superscript"/>
    </w:rPr>
  </w:style>
  <w:style w:type="character" w:styleId="869" w:customStyle="1">
    <w:name w:val="Endnote Characters"/>
    <w:qFormat/>
  </w:style>
  <w:style w:type="paragraph" w:styleId="870" w:customStyle="1">
    <w:name w:val="Heading"/>
    <w:basedOn w:val="849"/>
    <w:next w:val="87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71">
    <w:name w:val="Body Text"/>
    <w:basedOn w:val="849"/>
    <w:pPr>
      <w:spacing w:after="140" w:line="276" w:lineRule="auto"/>
    </w:pPr>
  </w:style>
  <w:style w:type="paragraph" w:styleId="872">
    <w:name w:val="List"/>
    <w:basedOn w:val="871"/>
  </w:style>
  <w:style w:type="paragraph" w:styleId="873">
    <w:name w:val="Caption"/>
    <w:basedOn w:val="849"/>
    <w:qFormat/>
    <w:pPr>
      <w:spacing w:before="120" w:after="120"/>
      <w:suppressLineNumbers/>
    </w:pPr>
    <w:rPr>
      <w:i/>
      <w:iCs/>
    </w:rPr>
  </w:style>
  <w:style w:type="paragraph" w:styleId="874" w:customStyle="1">
    <w:name w:val="Index"/>
    <w:basedOn w:val="849"/>
    <w:qFormat/>
    <w:pPr>
      <w:suppressLineNumbers/>
    </w:pPr>
  </w:style>
  <w:style w:type="paragraph" w:styleId="875">
    <w:name w:val="footnote text"/>
    <w:basedOn w:val="849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76">
    <w:name w:val="List Paragraph"/>
    <w:basedOn w:val="849"/>
    <w:qFormat/>
    <w:pPr>
      <w:ind w:left="708"/>
    </w:pPr>
    <w:rPr>
      <w:sz w:val="28"/>
    </w:rPr>
  </w:style>
  <w:style w:type="paragraph" w:styleId="877" w:customStyle="1">
    <w:name w:val="список с точками"/>
    <w:basedOn w:val="849"/>
    <w:qFormat/>
    <w:pPr>
      <w:numPr>
        <w:ilvl w:val="0"/>
        <w:numId w:val="1"/>
      </w:numPr>
      <w:jc w:val="both"/>
      <w:spacing w:line="312" w:lineRule="auto"/>
    </w:pPr>
  </w:style>
  <w:style w:type="paragraph" w:styleId="878" w:customStyle="1">
    <w:name w:val="Table Contents"/>
    <w:basedOn w:val="849"/>
    <w:qFormat/>
    <w:pPr>
      <w:widowControl w:val="off"/>
      <w:suppressLineNumbers/>
    </w:pPr>
  </w:style>
  <w:style w:type="paragraph" w:styleId="879" w:customStyle="1">
    <w:name w:val="Table Heading"/>
    <w:basedOn w:val="878"/>
    <w:qFormat/>
    <w:pPr>
      <w:jc w:val="center"/>
    </w:pPr>
    <w:rPr>
      <w:b/>
      <w:bCs/>
    </w:rPr>
  </w:style>
  <w:style w:type="table" w:styleId="880">
    <w:name w:val="Table Grid"/>
    <w:basedOn w:val="8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 w:customStyle="1">
    <w:name w:val="Обычный 2"/>
    <w:basedOn w:val="849"/>
    <w:link w:val="882"/>
    <w:qFormat/>
    <w:pPr>
      <w:ind w:firstLine="709"/>
      <w:jc w:val="center"/>
    </w:pPr>
  </w:style>
  <w:style w:type="character" w:styleId="882" w:customStyle="1">
    <w:name w:val="Обычный 2 Знак"/>
    <w:basedOn w:val="850"/>
    <w:link w:val="881"/>
    <w:rPr>
      <w:rFonts w:eastAsia="Times New Roman" w:cs="Times New Roman"/>
      <w:lang w:val="ru-RU" w:bidi="ar-SA"/>
    </w:rPr>
  </w:style>
  <w:style w:type="character" w:styleId="883">
    <w:name w:val="Hyperlink"/>
    <w:basedOn w:val="850"/>
    <w:uiPriority w:val="99"/>
    <w:unhideWhenUsed/>
    <w:rPr>
      <w:color w:val="0563c1" w:themeColor="hyperlink"/>
      <w:u w:val="single"/>
    </w:rPr>
  </w:style>
  <w:style w:type="character" w:styleId="884">
    <w:name w:val="Unresolved Mention"/>
    <w:basedOn w:val="85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edu.chsu.ru/portal" TargetMode="External"/><Relationship Id="rId11" Type="http://schemas.openxmlformats.org/officeDocument/2006/relationships/hyperlink" Target="https://biblioclub.ru/index.php?page=book&amp;id=480965" TargetMode="External"/><Relationship Id="rId12" Type="http://schemas.openxmlformats.org/officeDocument/2006/relationships/hyperlink" Target="https://biblioclub.ru/index.php?page=book&amp;id=493283" TargetMode="External"/><Relationship Id="rId13" Type="http://schemas.openxmlformats.org/officeDocument/2006/relationships/hyperlink" Target="https://biblioclub.ru/index.php?page=book&amp;id=493335" TargetMode="External"/><Relationship Id="rId14" Type="http://schemas.openxmlformats.org/officeDocument/2006/relationships/hyperlink" Target="https://biblioclub.ru/index.php?page=book&amp;id=278413" TargetMode="External"/><Relationship Id="rId15" Type="http://schemas.openxmlformats.org/officeDocument/2006/relationships/hyperlink" Target="http://biblioclub.ru/index.php?page=book&amp;id=118467" TargetMode="External"/><Relationship Id="rId16" Type="http://schemas.openxmlformats.org/officeDocument/2006/relationships/hyperlink" Target="http://biblioclub.ru/index.php?page=book&amp;id=257983" TargetMode="External"/><Relationship Id="rId17" Type="http://schemas.openxmlformats.org/officeDocument/2006/relationships/hyperlink" Target="https://biblioclub.ru/index.php?page=book&amp;id=298131" TargetMode="External"/><Relationship Id="rId18" Type="http://schemas.openxmlformats.org/officeDocument/2006/relationships/hyperlink" Target="https://biblioclub.ru/index.php?page=book&amp;id=496154" TargetMode="External"/><Relationship Id="rId19" Type="http://schemas.openxmlformats.org/officeDocument/2006/relationships/hyperlink" Target="http://biblioclub.ru/index.php?page=book&amp;id=240924" TargetMode="External"/><Relationship Id="rId20" Type="http://schemas.openxmlformats.org/officeDocument/2006/relationships/hyperlink" Target="https://biblioclub.ru/index.php?page=book&amp;id=86285" TargetMode="External"/><Relationship Id="rId21" Type="http://schemas.openxmlformats.org/officeDocument/2006/relationships/hyperlink" Target="http://biblioclub.ru/index.php?page=book&amp;id=118968" TargetMode="External"/><Relationship Id="rId22" Type="http://schemas.openxmlformats.org/officeDocument/2006/relationships/hyperlink" Target="https://biblioclub.ru/index.php?page=book&amp;id=232819" TargetMode="External"/><Relationship Id="rId23" Type="http://schemas.openxmlformats.org/officeDocument/2006/relationships/hyperlink" Target="https://clck.ru/UwQ5x" TargetMode="External"/><Relationship Id="rId24" Type="http://schemas.openxmlformats.org/officeDocument/2006/relationships/hyperlink" Target="https://biblioclub.ru/" TargetMode="External"/><Relationship Id="rId25" Type="http://schemas.openxmlformats.org/officeDocument/2006/relationships/hyperlink" Target="http://www.pedlib.ru" TargetMode="External"/><Relationship Id="rId26" Type="http://schemas.openxmlformats.org/officeDocument/2006/relationships/hyperlink" Target="http://www.koob.ru" TargetMode="External"/><Relationship Id="rId27" Type="http://schemas.openxmlformats.org/officeDocument/2006/relationships/hyperlink" Target="http://www.edu.ru" TargetMode="External"/><Relationship Id="rId28" Type="http://schemas.openxmlformats.org/officeDocument/2006/relationships/hyperlink" Target="https://ikp-rao.ru/" TargetMode="External"/><Relationship Id="rId29" Type="http://schemas.openxmlformats.org/officeDocument/2006/relationships/hyperlink" Target="https://edu.chsu.ru/port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13</cp:revision>
  <dcterms:created xsi:type="dcterms:W3CDTF">2021-03-09T21:06:00Z</dcterms:created>
  <dcterms:modified xsi:type="dcterms:W3CDTF">2024-10-02T10:41:29Z</dcterms:modified>
</cp:coreProperties>
</file>